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14D" w:rsidRDefault="008E2F08">
      <w:pPr>
        <w:spacing w:afterLines="50" w:after="156"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成果名称及技术相关介绍</w:t>
      </w:r>
    </w:p>
    <w:p w:rsidR="00AF414D" w:rsidRDefault="008E2F08">
      <w:pPr>
        <w:spacing w:afterLines="50" w:after="156" w:line="360" w:lineRule="auto"/>
        <w:rPr>
          <w:sz w:val="24"/>
        </w:rPr>
      </w:pPr>
      <w:r>
        <w:rPr>
          <w:rFonts w:hint="eastAsia"/>
          <w:b/>
          <w:bCs/>
          <w:sz w:val="24"/>
        </w:rPr>
        <w:t>成果名称：</w:t>
      </w:r>
      <w:r>
        <w:rPr>
          <w:sz w:val="24"/>
        </w:rPr>
        <w:t>一种结肠癌生物标志物及其应用</w:t>
      </w:r>
    </w:p>
    <w:p w:rsidR="00AF414D" w:rsidRDefault="008E2F08">
      <w:pPr>
        <w:spacing w:afterLines="20" w:after="62" w:line="360" w:lineRule="auto"/>
        <w:rPr>
          <w:rFonts w:ascii="Times New Roman" w:hAnsi="Times New Roman" w:cs="Times New Roman"/>
          <w:sz w:val="24"/>
        </w:rPr>
      </w:pPr>
      <w:r>
        <w:rPr>
          <w:rFonts w:hint="eastAsia"/>
          <w:b/>
          <w:bCs/>
          <w:sz w:val="24"/>
        </w:rPr>
        <w:t>技术相关介绍：</w:t>
      </w:r>
      <w:r>
        <w:rPr>
          <w:rFonts w:ascii="Times New Roman" w:hAnsi="Times New Roman" w:cs="Times New Roman"/>
          <w:sz w:val="24"/>
        </w:rPr>
        <w:t xml:space="preserve"> </w:t>
      </w:r>
    </w:p>
    <w:p w:rsidR="00AF414D" w:rsidRDefault="008E2F08">
      <w:pPr>
        <w:spacing w:afterLines="20" w:after="62"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sz w:val="24"/>
        </w:rPr>
        <w:t>液体活检作为一种新兴的手段，可取材于血液、尿液等体液，创伤性很小且利于肿瘤患者的实时监控。作为液体活检的三大手段之一，外</w:t>
      </w:r>
      <w:proofErr w:type="gramStart"/>
      <w:r>
        <w:rPr>
          <w:sz w:val="24"/>
        </w:rPr>
        <w:t>泌</w:t>
      </w:r>
      <w:proofErr w:type="gramEnd"/>
      <w:r>
        <w:rPr>
          <w:sz w:val="24"/>
        </w:rPr>
        <w:t>体是由供体细胞经胞吐作用释放到</w:t>
      </w:r>
      <w:r>
        <w:rPr>
          <w:rFonts w:ascii="Times New Roman" w:hAnsi="Times New Roman" w:cs="Times New Roman"/>
          <w:sz w:val="24"/>
        </w:rPr>
        <w:t>细胞外的脂质双层囊泡，作为细胞间信号传导的重要载体，外泌体携带丰富的可检测物质（</w:t>
      </w:r>
      <w:r>
        <w:rPr>
          <w:rFonts w:ascii="Times New Roman" w:hAnsi="Times New Roman" w:cs="Times New Roman"/>
          <w:sz w:val="24"/>
        </w:rPr>
        <w:t>mRNA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</w:rPr>
        <w:t>DNA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</w:rPr>
        <w:t>miRNAs</w:t>
      </w:r>
      <w:r>
        <w:rPr>
          <w:rFonts w:ascii="Times New Roman" w:hAnsi="Times New Roman" w:cs="Times New Roman"/>
          <w:sz w:val="24"/>
        </w:rPr>
        <w:t>及蛋白质等）。外</w:t>
      </w:r>
      <w:proofErr w:type="gramStart"/>
      <w:r>
        <w:rPr>
          <w:rFonts w:ascii="Times New Roman" w:hAnsi="Times New Roman" w:cs="Times New Roman"/>
          <w:sz w:val="24"/>
        </w:rPr>
        <w:t>泌体用于</w:t>
      </w:r>
      <w:proofErr w:type="gramEnd"/>
      <w:r>
        <w:rPr>
          <w:rFonts w:ascii="Times New Roman" w:hAnsi="Times New Roman" w:cs="Times New Roman"/>
          <w:sz w:val="24"/>
        </w:rPr>
        <w:t>液体活检具有以下优势：（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）含量丰富，如在血液中每毫升可有</w:t>
      </w:r>
      <w:r>
        <w:rPr>
          <w:rFonts w:ascii="Times New Roman" w:hAnsi="Times New Roman" w:cs="Times New Roman"/>
          <w:sz w:val="24"/>
        </w:rPr>
        <w:t>1×10</w:t>
      </w:r>
      <w:r>
        <w:rPr>
          <w:rFonts w:ascii="Times New Roman" w:hAnsi="Times New Roman" w:cs="Times New Roman"/>
          <w:sz w:val="24"/>
          <w:vertAlign w:val="superscript"/>
        </w:rPr>
        <w:t>9</w:t>
      </w:r>
      <w:r>
        <w:rPr>
          <w:rFonts w:ascii="Times New Roman" w:hAnsi="Times New Roman" w:cs="Times New Roman"/>
          <w:sz w:val="24"/>
        </w:rPr>
        <w:t>个外</w:t>
      </w:r>
      <w:proofErr w:type="gramStart"/>
      <w:r>
        <w:rPr>
          <w:rFonts w:ascii="Times New Roman" w:hAnsi="Times New Roman" w:cs="Times New Roman"/>
          <w:sz w:val="24"/>
        </w:rPr>
        <w:t>泌</w:t>
      </w:r>
      <w:proofErr w:type="gramEnd"/>
      <w:r>
        <w:rPr>
          <w:rFonts w:ascii="Times New Roman" w:hAnsi="Times New Roman" w:cs="Times New Roman"/>
          <w:sz w:val="24"/>
        </w:rPr>
        <w:t>体；（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）通透性强，容易存在于各种体液中，是液体活检的前提条件；（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）稳定性高，外</w:t>
      </w:r>
      <w:proofErr w:type="gramStart"/>
      <w:r>
        <w:rPr>
          <w:rFonts w:ascii="Times New Roman" w:hAnsi="Times New Roman" w:cs="Times New Roman"/>
          <w:sz w:val="24"/>
        </w:rPr>
        <w:t>泌</w:t>
      </w:r>
      <w:proofErr w:type="gramEnd"/>
      <w:r>
        <w:rPr>
          <w:rFonts w:ascii="Times New Roman" w:hAnsi="Times New Roman" w:cs="Times New Roman"/>
          <w:sz w:val="24"/>
        </w:rPr>
        <w:t>体的脂质双层结构可对包含的内容物有保护作用。越来越多的研究表明，外</w:t>
      </w:r>
      <w:proofErr w:type="gramStart"/>
      <w:r>
        <w:rPr>
          <w:rFonts w:ascii="Times New Roman" w:hAnsi="Times New Roman" w:cs="Times New Roman"/>
          <w:sz w:val="24"/>
        </w:rPr>
        <w:t>泌</w:t>
      </w:r>
      <w:proofErr w:type="gramEnd"/>
      <w:r>
        <w:rPr>
          <w:rFonts w:ascii="Times New Roman" w:hAnsi="Times New Roman" w:cs="Times New Roman"/>
          <w:sz w:val="24"/>
        </w:rPr>
        <w:t>体中的多种蛋白质在肿瘤的早期诊断中具有重要作用。例如在胰腺导管癌和</w:t>
      </w:r>
      <w:r w:rsidR="00316065">
        <w:rPr>
          <w:rFonts w:ascii="Times New Roman" w:hAnsi="Times New Roman" w:cs="Times New Roman" w:hint="eastAsia"/>
          <w:sz w:val="24"/>
        </w:rPr>
        <w:t>结直肠癌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患者的循环外泌体中，</w:t>
      </w:r>
      <w:r>
        <w:rPr>
          <w:rFonts w:ascii="Times New Roman" w:hAnsi="Times New Roman" w:cs="Times New Roman"/>
          <w:sz w:val="24"/>
        </w:rPr>
        <w:t>GPC1</w:t>
      </w:r>
      <w:r>
        <w:rPr>
          <w:rFonts w:ascii="Times New Roman" w:hAnsi="Times New Roman" w:cs="Times New Roman"/>
          <w:sz w:val="24"/>
        </w:rPr>
        <w:t>表达水平明显升高，外泌体源性</w:t>
      </w:r>
      <w:r>
        <w:rPr>
          <w:rFonts w:ascii="Times New Roman" w:hAnsi="Times New Roman" w:cs="Times New Roman"/>
          <w:sz w:val="24"/>
        </w:rPr>
        <w:t>GPC1</w:t>
      </w:r>
      <w:r>
        <w:rPr>
          <w:rFonts w:ascii="Times New Roman" w:hAnsi="Times New Roman" w:cs="Times New Roman"/>
          <w:sz w:val="24"/>
        </w:rPr>
        <w:t>可作为消化系统肿瘤的早期检测工具。也有研究通过检测血浆来源的外</w:t>
      </w:r>
      <w:proofErr w:type="gramStart"/>
      <w:r>
        <w:rPr>
          <w:rFonts w:ascii="Times New Roman" w:hAnsi="Times New Roman" w:cs="Times New Roman"/>
          <w:sz w:val="24"/>
        </w:rPr>
        <w:t>泌</w:t>
      </w:r>
      <w:proofErr w:type="gramEnd"/>
      <w:r>
        <w:rPr>
          <w:rFonts w:ascii="Times New Roman" w:hAnsi="Times New Roman" w:cs="Times New Roman"/>
          <w:sz w:val="24"/>
        </w:rPr>
        <w:t>体，发现</w:t>
      </w:r>
      <w:r>
        <w:rPr>
          <w:rFonts w:ascii="Times New Roman" w:hAnsi="Times New Roman" w:cs="Times New Roman"/>
          <w:sz w:val="24"/>
        </w:rPr>
        <w:t>CD151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</w:rPr>
        <w:t>CD171</w:t>
      </w:r>
      <w:r>
        <w:rPr>
          <w:rFonts w:ascii="Times New Roman" w:hAnsi="Times New Roman" w:cs="Times New Roman"/>
          <w:sz w:val="24"/>
        </w:rPr>
        <w:t>和</w:t>
      </w:r>
      <w:proofErr w:type="spellStart"/>
      <w:r>
        <w:rPr>
          <w:rFonts w:ascii="Times New Roman" w:hAnsi="Times New Roman" w:cs="Times New Roman"/>
          <w:sz w:val="24"/>
        </w:rPr>
        <w:t>tetrasppanin</w:t>
      </w:r>
      <w:proofErr w:type="spellEnd"/>
      <w:r>
        <w:rPr>
          <w:rFonts w:ascii="Times New Roman" w:hAnsi="Times New Roman" w:cs="Times New Roman"/>
          <w:sz w:val="24"/>
        </w:rPr>
        <w:t xml:space="preserve"> 8</w:t>
      </w:r>
      <w:r>
        <w:rPr>
          <w:rFonts w:ascii="Times New Roman" w:hAnsi="Times New Roman" w:cs="Times New Roman"/>
          <w:sz w:val="24"/>
        </w:rPr>
        <w:t>可以作为肺癌患者的诊断标志物。外</w:t>
      </w:r>
      <w:proofErr w:type="gramStart"/>
      <w:r>
        <w:rPr>
          <w:rFonts w:ascii="Times New Roman" w:hAnsi="Times New Roman" w:cs="Times New Roman"/>
          <w:sz w:val="24"/>
        </w:rPr>
        <w:t>泌</w:t>
      </w:r>
      <w:proofErr w:type="gramEnd"/>
      <w:r>
        <w:rPr>
          <w:rFonts w:ascii="Times New Roman" w:hAnsi="Times New Roman" w:cs="Times New Roman"/>
          <w:sz w:val="24"/>
        </w:rPr>
        <w:t>体可简便地从体液中收集，并且其分析相对简单，因此外泌</w:t>
      </w:r>
      <w:r>
        <w:rPr>
          <w:sz w:val="24"/>
        </w:rPr>
        <w:t>体中的蛋白质分析具有成为早期结肠癌筛查新型生</w:t>
      </w:r>
      <w:r>
        <w:rPr>
          <w:rFonts w:ascii="Times New Roman" w:hAnsi="Times New Roman" w:cs="Times New Roman"/>
          <w:sz w:val="24"/>
        </w:rPr>
        <w:t>物标志物的潜力。</w:t>
      </w:r>
    </w:p>
    <w:p w:rsidR="00AF414D" w:rsidRDefault="008E2F08">
      <w:pPr>
        <w:spacing w:afterLines="50" w:after="156" w:line="360" w:lineRule="auto"/>
        <w:ind w:firstLineChars="200" w:firstLine="480"/>
        <w:rPr>
          <w:sz w:val="24"/>
        </w:rPr>
      </w:pPr>
      <w:r>
        <w:rPr>
          <w:rFonts w:ascii="Times New Roman" w:hAnsi="Times New Roman" w:cs="Times New Roman"/>
          <w:kern w:val="0"/>
          <w:sz w:val="24"/>
        </w:rPr>
        <w:t>结肠癌患者的外</w:t>
      </w:r>
      <w:proofErr w:type="gramStart"/>
      <w:r>
        <w:rPr>
          <w:rFonts w:ascii="Times New Roman" w:hAnsi="Times New Roman" w:cs="Times New Roman"/>
          <w:kern w:val="0"/>
          <w:sz w:val="24"/>
        </w:rPr>
        <w:t>泌</w:t>
      </w:r>
      <w:proofErr w:type="gramEnd"/>
      <w:r>
        <w:rPr>
          <w:rFonts w:ascii="Times New Roman" w:hAnsi="Times New Roman" w:cs="Times New Roman"/>
          <w:kern w:val="0"/>
          <w:sz w:val="24"/>
        </w:rPr>
        <w:t>体可稳定表达</w:t>
      </w:r>
      <w:r>
        <w:rPr>
          <w:rFonts w:ascii="Times New Roman" w:hAnsi="Times New Roman" w:cs="Times New Roman"/>
          <w:kern w:val="0"/>
          <w:sz w:val="24"/>
        </w:rPr>
        <w:t>ENTPD2</w:t>
      </w:r>
      <w:r>
        <w:rPr>
          <w:rFonts w:ascii="Times New Roman" w:hAnsi="Times New Roman" w:cs="Times New Roman"/>
          <w:kern w:val="0"/>
          <w:sz w:val="24"/>
        </w:rPr>
        <w:t>，其表达水平明显高于健康人，且较高水平的外泌体</w:t>
      </w:r>
      <w:r>
        <w:rPr>
          <w:rFonts w:ascii="Times New Roman" w:hAnsi="Times New Roman" w:cs="Times New Roman"/>
          <w:kern w:val="0"/>
          <w:sz w:val="24"/>
        </w:rPr>
        <w:t>ENTPD2</w:t>
      </w:r>
      <w:r>
        <w:rPr>
          <w:rFonts w:ascii="Times New Roman" w:hAnsi="Times New Roman" w:cs="Times New Roman"/>
          <w:kern w:val="0"/>
          <w:sz w:val="24"/>
        </w:rPr>
        <w:t>与患者</w:t>
      </w:r>
      <w:r>
        <w:rPr>
          <w:rFonts w:ascii="Times New Roman" w:hAnsi="Times New Roman" w:cs="Times New Roman"/>
          <w:kern w:val="0"/>
          <w:sz w:val="24"/>
        </w:rPr>
        <w:t>TNM</w:t>
      </w:r>
      <w:r>
        <w:rPr>
          <w:rFonts w:ascii="Times New Roman" w:hAnsi="Times New Roman" w:cs="Times New Roman"/>
          <w:kern w:val="0"/>
          <w:sz w:val="24"/>
        </w:rPr>
        <w:t>分期和肿瘤浸润深度密切相关，说明血清外泌体</w:t>
      </w:r>
      <w:r>
        <w:rPr>
          <w:rFonts w:ascii="Times New Roman" w:hAnsi="Times New Roman" w:cs="Times New Roman"/>
          <w:kern w:val="0"/>
          <w:sz w:val="24"/>
        </w:rPr>
        <w:t>ENTPD2</w:t>
      </w:r>
      <w:r>
        <w:rPr>
          <w:rFonts w:ascii="Times New Roman" w:hAnsi="Times New Roman" w:cs="Times New Roman"/>
          <w:kern w:val="0"/>
          <w:sz w:val="24"/>
        </w:rPr>
        <w:t>在结肠癌诊断中具有明显的优势，有望成为结肠癌筛查、个体化治疗及预后监测的新型生物学标志物，为结肠癌的治疗提供了新</w:t>
      </w:r>
      <w:r>
        <w:rPr>
          <w:kern w:val="0"/>
          <w:sz w:val="24"/>
        </w:rPr>
        <w:t>的方向。</w:t>
      </w:r>
    </w:p>
    <w:sectPr w:rsidR="00AF4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Y1NDc3ZDQ0MTIyMDEwMzIxMGMzN2U3YTI2OTI5ODIifQ=="/>
  </w:docVars>
  <w:rsids>
    <w:rsidRoot w:val="0D694BDF"/>
    <w:rsid w:val="00316065"/>
    <w:rsid w:val="00687D60"/>
    <w:rsid w:val="008E2F08"/>
    <w:rsid w:val="00AF414D"/>
    <w:rsid w:val="09C676BC"/>
    <w:rsid w:val="0D694BDF"/>
    <w:rsid w:val="2D53381B"/>
    <w:rsid w:val="45F66658"/>
    <w:rsid w:val="60AF5697"/>
    <w:rsid w:val="65EC0A86"/>
    <w:rsid w:val="674A015A"/>
    <w:rsid w:val="74FC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6CAB3"/>
  <w15:docId w15:val="{B2A801C7-2A39-4717-944A-976CD798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咻咻ile</dc:creator>
  <cp:lastModifiedBy>Administrator</cp:lastModifiedBy>
  <cp:revision>4</cp:revision>
  <dcterms:created xsi:type="dcterms:W3CDTF">2023-04-06T03:47:00Z</dcterms:created>
  <dcterms:modified xsi:type="dcterms:W3CDTF">2023-04-06T03:51:00Z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74066E36B9914846B59AE809E9284AA2</vt:lpwstr>
  </property>
</Properties>
</file>